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50AC" w14:textId="52D43CAA" w:rsidR="009C038F" w:rsidRPr="00EB7416" w:rsidRDefault="00733BD9" w:rsidP="009C038F">
      <w:pPr>
        <w:jc w:val="center"/>
        <w:rPr>
          <w:rFonts w:ascii="Arial" w:hAnsi="Arial" w:cs="Arial"/>
        </w:rPr>
      </w:pPr>
      <w:r>
        <w:rPr>
          <w:rFonts w:ascii="Arial" w:hAnsi="Arial" w:cs="Arial"/>
        </w:rPr>
        <w:t xml:space="preserve">DOCUMENTAZIONE </w:t>
      </w:r>
      <w:r w:rsidR="00195C0D">
        <w:rPr>
          <w:rFonts w:ascii="Arial" w:hAnsi="Arial" w:cs="Arial"/>
        </w:rPr>
        <w:t xml:space="preserve"> ECONOMICA</w:t>
      </w:r>
    </w:p>
    <w:p w14:paraId="2B8CB62B" w14:textId="1197D761" w:rsidR="009C038F" w:rsidRPr="00EB7416" w:rsidRDefault="009C038F" w:rsidP="00EB7416">
      <w:pPr>
        <w:jc w:val="both"/>
        <w:rPr>
          <w:rFonts w:ascii="Arial" w:hAnsi="Arial" w:cs="Arial"/>
        </w:rPr>
      </w:pPr>
      <w:r w:rsidRPr="00EB7416">
        <w:rPr>
          <w:rFonts w:ascii="Arial" w:hAnsi="Arial" w:cs="Arial"/>
        </w:rPr>
        <w:t>Procedura aperta per l’affidamento del Servizio di Brokeraggio assicurativo del Consorzio di Bonifica Centro, per il triennio 2024 / 2027.</w:t>
      </w:r>
    </w:p>
    <w:p w14:paraId="2BD98884" w14:textId="77777777" w:rsidR="009C038F" w:rsidRPr="00EB7416" w:rsidRDefault="009C038F" w:rsidP="00EB7416">
      <w:pPr>
        <w:spacing w:line="360" w:lineRule="auto"/>
        <w:jc w:val="both"/>
        <w:rPr>
          <w:rFonts w:ascii="Arial" w:hAnsi="Arial" w:cs="Arial"/>
          <w:sz w:val="20"/>
          <w:szCs w:val="20"/>
        </w:rPr>
      </w:pPr>
      <w:r w:rsidRPr="00EB7416">
        <w:rPr>
          <w:rFonts w:ascii="Arial" w:hAnsi="Arial" w:cs="Arial"/>
        </w:rPr>
        <w:t>Il/la sottoscritto/a ________________________________________________________________ Nato/a ___________________ il _________ Residente in _______________________________ Via/Piazza ____________________________ n. ___ Codice Fiscale _______________________ in qualità di legale rappresentante / procuratore fornito dei poteri necessari dell’impresa offerente ________________________________ con sede in Via/Piazza ___________________________ CAP ______ Comune ______________________ Prov. (__) Partita IVA ____________________ Telefono ______________________ Fax ________________ e-mail _______________________ PEC ______________________________________________</w:t>
      </w:r>
    </w:p>
    <w:p w14:paraId="7B453C65" w14:textId="5E669B30" w:rsidR="009C038F" w:rsidRPr="00AA5ED6" w:rsidRDefault="00AA5ED6" w:rsidP="00AA5ED6">
      <w:pPr>
        <w:ind w:left="284"/>
        <w:jc w:val="center"/>
        <w:rPr>
          <w:rFonts w:ascii="Arial" w:hAnsi="Arial" w:cs="Arial"/>
        </w:rPr>
      </w:pPr>
      <w:r>
        <w:rPr>
          <w:rFonts w:ascii="Arial" w:hAnsi="Arial" w:cs="Arial"/>
        </w:rPr>
        <w:t xml:space="preserve">PRESO </w:t>
      </w:r>
      <w:r w:rsidR="00195C0D" w:rsidRPr="00AA5ED6">
        <w:rPr>
          <w:rFonts w:ascii="Arial" w:hAnsi="Arial" w:cs="Arial"/>
        </w:rPr>
        <w:t>ATTO CHE</w:t>
      </w:r>
    </w:p>
    <w:p w14:paraId="58AFF91F" w14:textId="6EE088E3" w:rsidR="007B7B94" w:rsidRPr="00AA5ED6" w:rsidRDefault="007B7B94" w:rsidP="007B7B94">
      <w:pPr>
        <w:pStyle w:val="Paragrafoelenco"/>
        <w:numPr>
          <w:ilvl w:val="0"/>
          <w:numId w:val="1"/>
        </w:numPr>
        <w:jc w:val="both"/>
        <w:rPr>
          <w:rFonts w:ascii="Arial" w:hAnsi="Arial" w:cs="Arial"/>
          <w:noProof/>
        </w:rPr>
      </w:pPr>
      <w:r w:rsidRPr="00AA5ED6">
        <w:rPr>
          <w:rFonts w:ascii="Arial" w:hAnsi="Arial" w:cs="Arial"/>
          <w:noProof/>
        </w:rPr>
        <w:t>Il servizio oggetto dell’appalto non comporta oneri diretti per l’ente</w:t>
      </w:r>
      <w:r w:rsidR="00AA5ED6">
        <w:rPr>
          <w:rFonts w:ascii="Arial" w:hAnsi="Arial" w:cs="Arial"/>
          <w:noProof/>
        </w:rPr>
        <w:t>;</w:t>
      </w:r>
      <w:r w:rsidRPr="00AA5ED6">
        <w:rPr>
          <w:rFonts w:ascii="Arial" w:hAnsi="Arial" w:cs="Arial"/>
          <w:noProof/>
        </w:rPr>
        <w:t xml:space="preserve"> </w:t>
      </w:r>
    </w:p>
    <w:p w14:paraId="657A0C0C" w14:textId="77777777" w:rsidR="00AA5ED6" w:rsidRDefault="007B7B94" w:rsidP="00EC55BE">
      <w:pPr>
        <w:pStyle w:val="Paragrafoelenco"/>
        <w:numPr>
          <w:ilvl w:val="0"/>
          <w:numId w:val="1"/>
        </w:numPr>
        <w:jc w:val="both"/>
        <w:rPr>
          <w:rFonts w:ascii="Arial" w:hAnsi="Arial" w:cs="Arial"/>
          <w:noProof/>
        </w:rPr>
      </w:pPr>
      <w:r w:rsidRPr="00AA5ED6">
        <w:rPr>
          <w:rFonts w:ascii="Arial" w:hAnsi="Arial" w:cs="Arial"/>
          <w:noProof/>
        </w:rPr>
        <w:t>Il broker</w:t>
      </w:r>
      <w:r w:rsidR="00AA5ED6" w:rsidRPr="00AA5ED6">
        <w:rPr>
          <w:rFonts w:ascii="Arial" w:hAnsi="Arial" w:cs="Arial"/>
          <w:noProof/>
        </w:rPr>
        <w:t xml:space="preserve"> assicurativo</w:t>
      </w:r>
      <w:r w:rsidRPr="00AA5ED6">
        <w:rPr>
          <w:rFonts w:ascii="Arial" w:hAnsi="Arial" w:cs="Arial"/>
          <w:noProof/>
        </w:rPr>
        <w:t>, viene remunerato dalle compagnie affidatarie delle diverse coperture assicurative sulla base di apposita clausola inserita nei contratti assicurativi.</w:t>
      </w:r>
      <w:r w:rsidR="00AA5ED6" w:rsidRPr="00AA5ED6">
        <w:rPr>
          <w:rFonts w:ascii="Arial" w:hAnsi="Arial" w:cs="Arial"/>
          <w:noProof/>
        </w:rPr>
        <w:t>;</w:t>
      </w:r>
    </w:p>
    <w:p w14:paraId="66E98743" w14:textId="4A7EA2A9" w:rsidR="007B7B94" w:rsidRPr="00AA5ED6" w:rsidRDefault="007B7B94" w:rsidP="00EC55BE">
      <w:pPr>
        <w:pStyle w:val="Paragrafoelenco"/>
        <w:numPr>
          <w:ilvl w:val="0"/>
          <w:numId w:val="1"/>
        </w:numPr>
        <w:jc w:val="both"/>
        <w:rPr>
          <w:rFonts w:ascii="Arial" w:hAnsi="Arial" w:cs="Arial"/>
          <w:noProof/>
        </w:rPr>
      </w:pPr>
      <w:r w:rsidRPr="00AA5ED6">
        <w:rPr>
          <w:rFonts w:ascii="Arial" w:hAnsi="Arial" w:cs="Arial"/>
          <w:noProof/>
        </w:rPr>
        <w:t xml:space="preserve">l’importo del servizio, è quantificabile in euro 63.360,55 per l’intera durata di 36 mesi e </w:t>
      </w:r>
      <w:r w:rsidR="00AA5ED6">
        <w:rPr>
          <w:rFonts w:ascii="Arial" w:hAnsi="Arial" w:cs="Arial"/>
          <w:noProof/>
        </w:rPr>
        <w:t xml:space="preserve">in </w:t>
      </w:r>
      <w:r w:rsidRPr="00AA5ED6">
        <w:rPr>
          <w:rFonts w:ascii="Arial" w:hAnsi="Arial" w:cs="Arial"/>
          <w:noProof/>
        </w:rPr>
        <w:t>un totale complessivo di proroga tecnica, di euro 73.920,64 ed è costituito dall’insieme dei compensi che affluiscono all’aggiudicatario del servizio attraverso la provvigione al 5% (cinquepercento) per la polizza RC Auto ed al 12% (dodicipercento) per le altre polizze applicate ai premi imponibili di seguito elencati</w:t>
      </w:r>
      <w:r w:rsidR="00AA5ED6">
        <w:rPr>
          <w:rFonts w:ascii="Arial" w:hAnsi="Arial" w:cs="Arial"/>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46"/>
        <w:gridCol w:w="2161"/>
        <w:gridCol w:w="2162"/>
      </w:tblGrid>
      <w:tr w:rsidR="007B7B94" w14:paraId="7F8F714C" w14:textId="77777777" w:rsidTr="00AA5ED6">
        <w:trPr>
          <w:jc w:val="center"/>
        </w:trPr>
        <w:tc>
          <w:tcPr>
            <w:tcW w:w="2126" w:type="dxa"/>
            <w:shd w:val="clear" w:color="auto" w:fill="auto"/>
          </w:tcPr>
          <w:p w14:paraId="62B7528D" w14:textId="77777777" w:rsidR="007B7B94" w:rsidRDefault="007B7B94" w:rsidP="00D01698">
            <w:pPr>
              <w:jc w:val="both"/>
              <w:rPr>
                <w:rFonts w:ascii="Calibri" w:hAnsi="Calibri" w:cs="Tahoma"/>
              </w:rPr>
            </w:pPr>
            <w:r>
              <w:rPr>
                <w:rFonts w:ascii="Calibri" w:hAnsi="Calibri" w:cs="Tahoma"/>
              </w:rPr>
              <w:t>Ramo</w:t>
            </w:r>
          </w:p>
        </w:tc>
        <w:tc>
          <w:tcPr>
            <w:tcW w:w="1946" w:type="dxa"/>
            <w:shd w:val="clear" w:color="auto" w:fill="auto"/>
          </w:tcPr>
          <w:p w14:paraId="2DE6CF8E" w14:textId="77777777" w:rsidR="007B7B94" w:rsidRDefault="007B7B94" w:rsidP="00D01698">
            <w:pPr>
              <w:jc w:val="both"/>
              <w:rPr>
                <w:rFonts w:ascii="Calibri" w:hAnsi="Calibri" w:cs="Tahoma"/>
              </w:rPr>
            </w:pPr>
            <w:r>
              <w:rPr>
                <w:rFonts w:ascii="Calibri" w:hAnsi="Calibri" w:cs="Tahoma"/>
              </w:rPr>
              <w:t>Compagnia</w:t>
            </w:r>
          </w:p>
        </w:tc>
        <w:tc>
          <w:tcPr>
            <w:tcW w:w="2161" w:type="dxa"/>
            <w:shd w:val="clear" w:color="auto" w:fill="auto"/>
          </w:tcPr>
          <w:p w14:paraId="0AB53662" w14:textId="77777777" w:rsidR="007B7B94" w:rsidRDefault="007B7B94" w:rsidP="00D01698">
            <w:pPr>
              <w:jc w:val="both"/>
              <w:rPr>
                <w:rFonts w:ascii="Calibri" w:hAnsi="Calibri" w:cs="Tahoma"/>
              </w:rPr>
            </w:pPr>
            <w:r>
              <w:rPr>
                <w:rFonts w:ascii="Calibri" w:hAnsi="Calibri" w:cs="Tahoma"/>
              </w:rPr>
              <w:t>Data scadenza</w:t>
            </w:r>
          </w:p>
        </w:tc>
        <w:tc>
          <w:tcPr>
            <w:tcW w:w="2162" w:type="dxa"/>
            <w:shd w:val="clear" w:color="auto" w:fill="auto"/>
          </w:tcPr>
          <w:p w14:paraId="64F3FF21" w14:textId="77777777" w:rsidR="007B7B94" w:rsidRDefault="007B7B94" w:rsidP="00D01698">
            <w:pPr>
              <w:jc w:val="both"/>
              <w:rPr>
                <w:rFonts w:ascii="Calibri" w:hAnsi="Calibri" w:cs="Tahoma"/>
              </w:rPr>
            </w:pPr>
            <w:r>
              <w:rPr>
                <w:rFonts w:ascii="Calibri" w:hAnsi="Calibri" w:cs="Tahoma"/>
              </w:rPr>
              <w:t>Premio imponibile 36 mesi</w:t>
            </w:r>
          </w:p>
        </w:tc>
      </w:tr>
      <w:tr w:rsidR="007B7B94" w14:paraId="4B21EF20" w14:textId="77777777" w:rsidTr="00AA5ED6">
        <w:trPr>
          <w:jc w:val="center"/>
        </w:trPr>
        <w:tc>
          <w:tcPr>
            <w:tcW w:w="2126" w:type="dxa"/>
            <w:shd w:val="clear" w:color="auto" w:fill="auto"/>
          </w:tcPr>
          <w:p w14:paraId="3CFA686C" w14:textId="77777777" w:rsidR="007B7B94" w:rsidRDefault="007B7B94" w:rsidP="00D01698">
            <w:pPr>
              <w:jc w:val="both"/>
              <w:rPr>
                <w:rFonts w:ascii="Calibri" w:hAnsi="Calibri" w:cs="Tahoma"/>
              </w:rPr>
            </w:pPr>
            <w:r>
              <w:rPr>
                <w:rFonts w:ascii="Calibri" w:hAnsi="Calibri" w:cs="Tahoma"/>
              </w:rPr>
              <w:t>ALL RISKS</w:t>
            </w:r>
          </w:p>
        </w:tc>
        <w:tc>
          <w:tcPr>
            <w:tcW w:w="1946" w:type="dxa"/>
            <w:shd w:val="clear" w:color="auto" w:fill="auto"/>
          </w:tcPr>
          <w:p w14:paraId="6D84BBCB" w14:textId="77777777" w:rsidR="007B7B94" w:rsidRDefault="007B7B94" w:rsidP="00D01698">
            <w:pPr>
              <w:jc w:val="both"/>
              <w:rPr>
                <w:rFonts w:ascii="Calibri" w:hAnsi="Calibri" w:cs="Tahoma"/>
              </w:rPr>
            </w:pPr>
            <w:r>
              <w:rPr>
                <w:rFonts w:ascii="Calibri" w:hAnsi="Calibri" w:cs="Tahoma"/>
              </w:rPr>
              <w:t>GENERALI</w:t>
            </w:r>
          </w:p>
        </w:tc>
        <w:tc>
          <w:tcPr>
            <w:tcW w:w="2161" w:type="dxa"/>
            <w:shd w:val="clear" w:color="auto" w:fill="auto"/>
          </w:tcPr>
          <w:p w14:paraId="18253C4E" w14:textId="77777777" w:rsidR="007B7B94" w:rsidRDefault="007B7B94" w:rsidP="00D01698">
            <w:pPr>
              <w:jc w:val="center"/>
              <w:rPr>
                <w:rFonts w:ascii="Calibri" w:hAnsi="Calibri" w:cs="Tahoma"/>
              </w:rPr>
            </w:pPr>
            <w:r>
              <w:rPr>
                <w:rFonts w:ascii="Calibri" w:hAnsi="Calibri" w:cs="Tahoma"/>
              </w:rPr>
              <w:t>30.6.2026</w:t>
            </w:r>
          </w:p>
        </w:tc>
        <w:tc>
          <w:tcPr>
            <w:tcW w:w="2162" w:type="dxa"/>
            <w:shd w:val="clear" w:color="auto" w:fill="auto"/>
          </w:tcPr>
          <w:p w14:paraId="678742FE" w14:textId="77777777" w:rsidR="007B7B94" w:rsidRPr="00231667" w:rsidRDefault="007B7B94" w:rsidP="00D01698">
            <w:pPr>
              <w:jc w:val="right"/>
              <w:rPr>
                <w:rFonts w:ascii="Calibri" w:hAnsi="Calibri" w:cs="Tahoma"/>
              </w:rPr>
            </w:pPr>
            <w:r>
              <w:rPr>
                <w:rFonts w:ascii="Calibri" w:hAnsi="Calibri" w:cs="Tahoma"/>
              </w:rPr>
              <w:t xml:space="preserve"> € </w:t>
            </w:r>
            <w:r w:rsidRPr="00231667">
              <w:rPr>
                <w:rFonts w:ascii="Calibri" w:hAnsi="Calibri" w:cs="Tahoma"/>
              </w:rPr>
              <w:t>65.629,98</w:t>
            </w:r>
          </w:p>
        </w:tc>
      </w:tr>
      <w:tr w:rsidR="007B7B94" w14:paraId="4AB2BAF8" w14:textId="77777777" w:rsidTr="00AA5ED6">
        <w:trPr>
          <w:jc w:val="center"/>
        </w:trPr>
        <w:tc>
          <w:tcPr>
            <w:tcW w:w="2126" w:type="dxa"/>
            <w:shd w:val="clear" w:color="auto" w:fill="auto"/>
          </w:tcPr>
          <w:p w14:paraId="6FDF8B32" w14:textId="77777777" w:rsidR="007B7B94" w:rsidRDefault="007B7B94" w:rsidP="00D01698">
            <w:pPr>
              <w:jc w:val="both"/>
              <w:rPr>
                <w:rFonts w:ascii="Calibri" w:hAnsi="Calibri" w:cs="Tahoma"/>
              </w:rPr>
            </w:pPr>
            <w:r>
              <w:rPr>
                <w:rFonts w:ascii="Calibri" w:hAnsi="Calibri" w:cs="Tahoma"/>
              </w:rPr>
              <w:t>RCT</w:t>
            </w:r>
          </w:p>
        </w:tc>
        <w:tc>
          <w:tcPr>
            <w:tcW w:w="1946" w:type="dxa"/>
            <w:shd w:val="clear" w:color="auto" w:fill="auto"/>
          </w:tcPr>
          <w:p w14:paraId="6DEBDE92" w14:textId="77777777" w:rsidR="007B7B94" w:rsidRDefault="007B7B94" w:rsidP="00D01698">
            <w:pPr>
              <w:jc w:val="both"/>
              <w:rPr>
                <w:rFonts w:ascii="Calibri" w:hAnsi="Calibri" w:cs="Tahoma"/>
              </w:rPr>
            </w:pPr>
            <w:r>
              <w:rPr>
                <w:rFonts w:ascii="Calibri" w:hAnsi="Calibri" w:cs="Tahoma"/>
              </w:rPr>
              <w:t>GENERALI</w:t>
            </w:r>
          </w:p>
        </w:tc>
        <w:tc>
          <w:tcPr>
            <w:tcW w:w="2161" w:type="dxa"/>
            <w:shd w:val="clear" w:color="auto" w:fill="auto"/>
          </w:tcPr>
          <w:p w14:paraId="0CC665FA" w14:textId="77777777" w:rsidR="007B7B94" w:rsidRDefault="007B7B94" w:rsidP="00D01698">
            <w:pPr>
              <w:jc w:val="center"/>
              <w:rPr>
                <w:rFonts w:ascii="Calibri" w:hAnsi="Calibri" w:cs="Tahoma"/>
              </w:rPr>
            </w:pPr>
            <w:r>
              <w:rPr>
                <w:rFonts w:ascii="Calibri" w:hAnsi="Calibri" w:cs="Tahoma"/>
              </w:rPr>
              <w:t>30.6.2026</w:t>
            </w:r>
          </w:p>
        </w:tc>
        <w:tc>
          <w:tcPr>
            <w:tcW w:w="2162" w:type="dxa"/>
            <w:shd w:val="clear" w:color="auto" w:fill="auto"/>
          </w:tcPr>
          <w:p w14:paraId="3242E0B1" w14:textId="77777777" w:rsidR="007B7B94" w:rsidRPr="00231667" w:rsidRDefault="007B7B94" w:rsidP="00D01698">
            <w:pPr>
              <w:jc w:val="right"/>
              <w:rPr>
                <w:rFonts w:ascii="Calibri" w:hAnsi="Calibri" w:cs="Tahoma"/>
              </w:rPr>
            </w:pPr>
            <w:r>
              <w:rPr>
                <w:rFonts w:ascii="Calibri" w:hAnsi="Calibri" w:cs="Tahoma"/>
              </w:rPr>
              <w:t xml:space="preserve">€ </w:t>
            </w:r>
            <w:r w:rsidRPr="00231667">
              <w:rPr>
                <w:rFonts w:ascii="Calibri" w:hAnsi="Calibri" w:cs="Tahoma"/>
              </w:rPr>
              <w:t>291.305,52</w:t>
            </w:r>
          </w:p>
        </w:tc>
      </w:tr>
      <w:tr w:rsidR="007B7B94" w14:paraId="02DA3DCB" w14:textId="77777777" w:rsidTr="00AA5ED6">
        <w:trPr>
          <w:jc w:val="center"/>
        </w:trPr>
        <w:tc>
          <w:tcPr>
            <w:tcW w:w="2126" w:type="dxa"/>
            <w:shd w:val="clear" w:color="auto" w:fill="auto"/>
          </w:tcPr>
          <w:p w14:paraId="45BB9FAC" w14:textId="77777777" w:rsidR="007B7B94" w:rsidRDefault="007B7B94" w:rsidP="00D01698">
            <w:pPr>
              <w:jc w:val="both"/>
              <w:rPr>
                <w:rFonts w:ascii="Calibri" w:hAnsi="Calibri" w:cs="Tahoma"/>
              </w:rPr>
            </w:pPr>
            <w:r>
              <w:rPr>
                <w:rFonts w:ascii="Calibri" w:hAnsi="Calibri" w:cs="Tahoma"/>
              </w:rPr>
              <w:t>RC PATRIMONIALE</w:t>
            </w:r>
          </w:p>
        </w:tc>
        <w:tc>
          <w:tcPr>
            <w:tcW w:w="1946" w:type="dxa"/>
            <w:shd w:val="clear" w:color="auto" w:fill="auto"/>
          </w:tcPr>
          <w:p w14:paraId="49E972AF" w14:textId="77777777" w:rsidR="007B7B94" w:rsidRDefault="007B7B94" w:rsidP="00D01698">
            <w:pPr>
              <w:jc w:val="both"/>
              <w:rPr>
                <w:rFonts w:ascii="Calibri" w:hAnsi="Calibri" w:cs="Tahoma"/>
              </w:rPr>
            </w:pPr>
            <w:r>
              <w:rPr>
                <w:rFonts w:ascii="Calibri" w:hAnsi="Calibri" w:cs="Tahoma"/>
              </w:rPr>
              <w:t>LLOYD’S</w:t>
            </w:r>
          </w:p>
        </w:tc>
        <w:tc>
          <w:tcPr>
            <w:tcW w:w="2161" w:type="dxa"/>
            <w:shd w:val="clear" w:color="auto" w:fill="auto"/>
          </w:tcPr>
          <w:p w14:paraId="1BE17E51" w14:textId="77777777" w:rsidR="007B7B94" w:rsidRDefault="007B7B94" w:rsidP="00D01698">
            <w:pPr>
              <w:jc w:val="center"/>
              <w:rPr>
                <w:rFonts w:ascii="Calibri" w:hAnsi="Calibri" w:cs="Tahoma"/>
              </w:rPr>
            </w:pPr>
            <w:r>
              <w:rPr>
                <w:rFonts w:ascii="Calibri" w:hAnsi="Calibri" w:cs="Tahoma"/>
              </w:rPr>
              <w:t>30.6.2026</w:t>
            </w:r>
          </w:p>
        </w:tc>
        <w:tc>
          <w:tcPr>
            <w:tcW w:w="2162" w:type="dxa"/>
            <w:shd w:val="clear" w:color="auto" w:fill="auto"/>
          </w:tcPr>
          <w:p w14:paraId="34B79BA1" w14:textId="77777777" w:rsidR="007B7B94" w:rsidRPr="00231667" w:rsidRDefault="007B7B94" w:rsidP="00D01698">
            <w:pPr>
              <w:jc w:val="right"/>
              <w:rPr>
                <w:rFonts w:ascii="Calibri" w:hAnsi="Calibri" w:cs="Tahoma"/>
              </w:rPr>
            </w:pPr>
            <w:r>
              <w:t xml:space="preserve">€ </w:t>
            </w:r>
            <w:r w:rsidRPr="00231667">
              <w:rPr>
                <w:rFonts w:ascii="Calibri" w:hAnsi="Calibri" w:cs="Tahoma"/>
              </w:rPr>
              <w:t>15.750,00</w:t>
            </w:r>
          </w:p>
        </w:tc>
      </w:tr>
      <w:tr w:rsidR="007B7B94" w14:paraId="1D86636D" w14:textId="77777777" w:rsidTr="00AA5ED6">
        <w:trPr>
          <w:jc w:val="center"/>
        </w:trPr>
        <w:tc>
          <w:tcPr>
            <w:tcW w:w="2126" w:type="dxa"/>
            <w:shd w:val="clear" w:color="auto" w:fill="auto"/>
          </w:tcPr>
          <w:p w14:paraId="0981411B" w14:textId="77777777" w:rsidR="007B7B94" w:rsidRDefault="007B7B94" w:rsidP="00D01698">
            <w:pPr>
              <w:jc w:val="both"/>
              <w:rPr>
                <w:rFonts w:ascii="Calibri" w:hAnsi="Calibri" w:cs="Tahoma"/>
              </w:rPr>
            </w:pPr>
            <w:r>
              <w:rPr>
                <w:rFonts w:ascii="Calibri" w:hAnsi="Calibri" w:cs="Tahoma"/>
              </w:rPr>
              <w:t>RC AUTO</w:t>
            </w:r>
          </w:p>
        </w:tc>
        <w:tc>
          <w:tcPr>
            <w:tcW w:w="1946" w:type="dxa"/>
            <w:shd w:val="clear" w:color="auto" w:fill="auto"/>
          </w:tcPr>
          <w:p w14:paraId="3EAB70AB" w14:textId="77777777" w:rsidR="007B7B94" w:rsidRDefault="007B7B94" w:rsidP="00D01698">
            <w:pPr>
              <w:jc w:val="both"/>
              <w:rPr>
                <w:rFonts w:ascii="Calibri" w:hAnsi="Calibri" w:cs="Tahoma"/>
              </w:rPr>
            </w:pPr>
            <w:r>
              <w:rPr>
                <w:rFonts w:ascii="Calibri" w:hAnsi="Calibri" w:cs="Tahoma"/>
              </w:rPr>
              <w:t xml:space="preserve">ITALIANA </w:t>
            </w:r>
          </w:p>
        </w:tc>
        <w:tc>
          <w:tcPr>
            <w:tcW w:w="2161" w:type="dxa"/>
            <w:shd w:val="clear" w:color="auto" w:fill="auto"/>
          </w:tcPr>
          <w:p w14:paraId="520E2202" w14:textId="77777777" w:rsidR="007B7B94" w:rsidRDefault="007B7B94" w:rsidP="00D01698">
            <w:pPr>
              <w:jc w:val="center"/>
              <w:rPr>
                <w:rFonts w:ascii="Calibri" w:hAnsi="Calibri" w:cs="Tahoma"/>
              </w:rPr>
            </w:pPr>
            <w:r>
              <w:rPr>
                <w:rFonts w:ascii="Calibri" w:hAnsi="Calibri" w:cs="Tahoma"/>
              </w:rPr>
              <w:t>31.12.2024</w:t>
            </w:r>
          </w:p>
        </w:tc>
        <w:tc>
          <w:tcPr>
            <w:tcW w:w="2162" w:type="dxa"/>
            <w:shd w:val="clear" w:color="auto" w:fill="auto"/>
          </w:tcPr>
          <w:p w14:paraId="033B85BD" w14:textId="77777777" w:rsidR="007B7B94" w:rsidRPr="00231667" w:rsidRDefault="007B7B94" w:rsidP="00D01698">
            <w:pPr>
              <w:jc w:val="right"/>
              <w:rPr>
                <w:rFonts w:ascii="Calibri" w:hAnsi="Calibri" w:cs="Tahoma"/>
              </w:rPr>
            </w:pPr>
            <w:r>
              <w:rPr>
                <w:rFonts w:ascii="Calibri" w:hAnsi="Calibri" w:cs="Tahoma"/>
              </w:rPr>
              <w:t xml:space="preserve">€ </w:t>
            </w:r>
            <w:r w:rsidRPr="00231667">
              <w:rPr>
                <w:rFonts w:ascii="Calibri" w:hAnsi="Calibri" w:cs="Tahoma"/>
              </w:rPr>
              <w:t>13.019,40</w:t>
            </w:r>
          </w:p>
        </w:tc>
      </w:tr>
      <w:tr w:rsidR="007B7B94" w14:paraId="4D895F76" w14:textId="77777777" w:rsidTr="00AA5ED6">
        <w:trPr>
          <w:jc w:val="center"/>
        </w:trPr>
        <w:tc>
          <w:tcPr>
            <w:tcW w:w="2126" w:type="dxa"/>
            <w:shd w:val="clear" w:color="auto" w:fill="auto"/>
          </w:tcPr>
          <w:p w14:paraId="47A1162E" w14:textId="77777777" w:rsidR="007B7B94" w:rsidRDefault="007B7B94" w:rsidP="00D01698">
            <w:pPr>
              <w:jc w:val="both"/>
              <w:rPr>
                <w:rFonts w:ascii="Calibri" w:hAnsi="Calibri" w:cs="Tahoma"/>
              </w:rPr>
            </w:pPr>
            <w:r>
              <w:rPr>
                <w:rFonts w:ascii="Calibri" w:hAnsi="Calibri" w:cs="Tahoma"/>
              </w:rPr>
              <w:t>RC INQUINAMENTO</w:t>
            </w:r>
          </w:p>
        </w:tc>
        <w:tc>
          <w:tcPr>
            <w:tcW w:w="1946" w:type="dxa"/>
            <w:shd w:val="clear" w:color="auto" w:fill="auto"/>
          </w:tcPr>
          <w:p w14:paraId="09DCBB6E" w14:textId="77777777" w:rsidR="007B7B94" w:rsidRDefault="007B7B94" w:rsidP="00D01698">
            <w:pPr>
              <w:jc w:val="both"/>
              <w:rPr>
                <w:rFonts w:ascii="Calibri" w:hAnsi="Calibri" w:cs="Tahoma"/>
              </w:rPr>
            </w:pPr>
            <w:r>
              <w:rPr>
                <w:rFonts w:ascii="Calibri" w:hAnsi="Calibri" w:cs="Tahoma"/>
              </w:rPr>
              <w:t>GENERALI</w:t>
            </w:r>
          </w:p>
        </w:tc>
        <w:tc>
          <w:tcPr>
            <w:tcW w:w="2161" w:type="dxa"/>
            <w:shd w:val="clear" w:color="auto" w:fill="auto"/>
          </w:tcPr>
          <w:p w14:paraId="740F20D5" w14:textId="77777777" w:rsidR="007B7B94" w:rsidRDefault="007B7B94" w:rsidP="00D01698">
            <w:pPr>
              <w:jc w:val="center"/>
              <w:rPr>
                <w:rFonts w:ascii="Calibri" w:hAnsi="Calibri" w:cs="Tahoma"/>
              </w:rPr>
            </w:pPr>
            <w:r>
              <w:rPr>
                <w:rFonts w:ascii="Calibri" w:hAnsi="Calibri" w:cs="Tahoma"/>
              </w:rPr>
              <w:t>31.12.2025</w:t>
            </w:r>
          </w:p>
        </w:tc>
        <w:tc>
          <w:tcPr>
            <w:tcW w:w="2162" w:type="dxa"/>
            <w:shd w:val="clear" w:color="auto" w:fill="auto"/>
          </w:tcPr>
          <w:p w14:paraId="036B7C3A" w14:textId="77777777" w:rsidR="007B7B94" w:rsidRPr="00231667" w:rsidRDefault="007B7B94" w:rsidP="00D01698">
            <w:pPr>
              <w:jc w:val="right"/>
              <w:rPr>
                <w:rFonts w:ascii="Calibri" w:hAnsi="Calibri" w:cs="Tahoma"/>
              </w:rPr>
            </w:pPr>
            <w:r>
              <w:rPr>
                <w:rFonts w:ascii="Calibri" w:hAnsi="Calibri" w:cs="Tahoma"/>
              </w:rPr>
              <w:t xml:space="preserve">€ </w:t>
            </w:r>
            <w:r w:rsidRPr="00231667">
              <w:rPr>
                <w:rFonts w:ascii="Calibri" w:hAnsi="Calibri" w:cs="Tahoma"/>
              </w:rPr>
              <w:t>99.429,42</w:t>
            </w:r>
          </w:p>
        </w:tc>
      </w:tr>
      <w:tr w:rsidR="007B7B94" w14:paraId="24545FF3" w14:textId="77777777" w:rsidTr="00AA5ED6">
        <w:trPr>
          <w:jc w:val="center"/>
        </w:trPr>
        <w:tc>
          <w:tcPr>
            <w:tcW w:w="2126" w:type="dxa"/>
            <w:shd w:val="clear" w:color="auto" w:fill="auto"/>
          </w:tcPr>
          <w:p w14:paraId="2A201A05" w14:textId="77777777" w:rsidR="007B7B94" w:rsidRDefault="007B7B94" w:rsidP="00D01698">
            <w:pPr>
              <w:jc w:val="both"/>
              <w:rPr>
                <w:rFonts w:ascii="Calibri" w:hAnsi="Calibri" w:cs="Tahoma"/>
              </w:rPr>
            </w:pPr>
            <w:r>
              <w:rPr>
                <w:rFonts w:ascii="Calibri" w:hAnsi="Calibri" w:cs="Tahoma"/>
              </w:rPr>
              <w:t>TUTELA LEGALE</w:t>
            </w:r>
          </w:p>
        </w:tc>
        <w:tc>
          <w:tcPr>
            <w:tcW w:w="1946" w:type="dxa"/>
            <w:shd w:val="clear" w:color="auto" w:fill="auto"/>
          </w:tcPr>
          <w:p w14:paraId="2C92F7BA" w14:textId="77777777" w:rsidR="007B7B94" w:rsidRDefault="007B7B94" w:rsidP="00D01698">
            <w:pPr>
              <w:jc w:val="both"/>
              <w:rPr>
                <w:rFonts w:ascii="Calibri" w:hAnsi="Calibri" w:cs="Tahoma"/>
              </w:rPr>
            </w:pPr>
            <w:r>
              <w:rPr>
                <w:rFonts w:ascii="Calibri" w:hAnsi="Calibri" w:cs="Tahoma"/>
              </w:rPr>
              <w:t>ITAS MUTUA</w:t>
            </w:r>
          </w:p>
        </w:tc>
        <w:tc>
          <w:tcPr>
            <w:tcW w:w="2161" w:type="dxa"/>
            <w:shd w:val="clear" w:color="auto" w:fill="auto"/>
          </w:tcPr>
          <w:p w14:paraId="1D36601B" w14:textId="77777777" w:rsidR="007B7B94" w:rsidRDefault="007B7B94" w:rsidP="00D01698">
            <w:pPr>
              <w:jc w:val="center"/>
              <w:rPr>
                <w:rFonts w:ascii="Calibri" w:hAnsi="Calibri" w:cs="Tahoma"/>
              </w:rPr>
            </w:pPr>
            <w:r>
              <w:rPr>
                <w:rFonts w:ascii="Calibri" w:hAnsi="Calibri" w:cs="Tahoma"/>
              </w:rPr>
              <w:t>31.12.2025</w:t>
            </w:r>
          </w:p>
        </w:tc>
        <w:tc>
          <w:tcPr>
            <w:tcW w:w="2162" w:type="dxa"/>
            <w:shd w:val="clear" w:color="auto" w:fill="auto"/>
          </w:tcPr>
          <w:p w14:paraId="4A11B4DD" w14:textId="77777777" w:rsidR="007B7B94" w:rsidRPr="00231667" w:rsidRDefault="007B7B94" w:rsidP="00D01698">
            <w:pPr>
              <w:jc w:val="right"/>
              <w:rPr>
                <w:rFonts w:ascii="Calibri" w:hAnsi="Calibri" w:cs="Tahoma"/>
              </w:rPr>
            </w:pPr>
            <w:r>
              <w:rPr>
                <w:rFonts w:ascii="Calibri" w:hAnsi="Calibri" w:cs="Tahoma"/>
              </w:rPr>
              <w:t xml:space="preserve">€ </w:t>
            </w:r>
            <w:r w:rsidRPr="00231667">
              <w:rPr>
                <w:rFonts w:ascii="Calibri" w:hAnsi="Calibri" w:cs="Tahoma"/>
              </w:rPr>
              <w:t>44.164,98</w:t>
            </w:r>
          </w:p>
        </w:tc>
      </w:tr>
      <w:tr w:rsidR="007B7B94" w14:paraId="1D3EF2BB" w14:textId="77777777" w:rsidTr="00AA5ED6">
        <w:trPr>
          <w:jc w:val="center"/>
        </w:trPr>
        <w:tc>
          <w:tcPr>
            <w:tcW w:w="2126" w:type="dxa"/>
            <w:shd w:val="clear" w:color="auto" w:fill="auto"/>
          </w:tcPr>
          <w:p w14:paraId="53F1A2B3" w14:textId="77777777" w:rsidR="007B7B94" w:rsidRDefault="007B7B94" w:rsidP="00D01698">
            <w:pPr>
              <w:jc w:val="both"/>
              <w:rPr>
                <w:rFonts w:ascii="Calibri" w:hAnsi="Calibri" w:cs="Tahoma"/>
              </w:rPr>
            </w:pPr>
            <w:r>
              <w:rPr>
                <w:rFonts w:ascii="Calibri" w:hAnsi="Calibri" w:cs="Tahoma"/>
              </w:rPr>
              <w:t>ARD KASCO</w:t>
            </w:r>
          </w:p>
        </w:tc>
        <w:tc>
          <w:tcPr>
            <w:tcW w:w="1946" w:type="dxa"/>
            <w:shd w:val="clear" w:color="auto" w:fill="auto"/>
          </w:tcPr>
          <w:p w14:paraId="77FB9A6B" w14:textId="77777777" w:rsidR="007B7B94" w:rsidRDefault="007B7B94" w:rsidP="00D01698">
            <w:pPr>
              <w:jc w:val="both"/>
              <w:rPr>
                <w:rFonts w:ascii="Calibri" w:hAnsi="Calibri" w:cs="Tahoma"/>
              </w:rPr>
            </w:pPr>
            <w:r>
              <w:rPr>
                <w:rFonts w:ascii="Calibri" w:hAnsi="Calibri" w:cs="Tahoma"/>
              </w:rPr>
              <w:t>UNIPOL SAI</w:t>
            </w:r>
          </w:p>
        </w:tc>
        <w:tc>
          <w:tcPr>
            <w:tcW w:w="2161" w:type="dxa"/>
            <w:shd w:val="clear" w:color="auto" w:fill="auto"/>
          </w:tcPr>
          <w:p w14:paraId="0A600292" w14:textId="77777777" w:rsidR="007B7B94" w:rsidRDefault="007B7B94" w:rsidP="00D01698">
            <w:pPr>
              <w:jc w:val="center"/>
              <w:rPr>
                <w:rFonts w:ascii="Calibri" w:hAnsi="Calibri" w:cs="Tahoma"/>
              </w:rPr>
            </w:pPr>
            <w:r>
              <w:rPr>
                <w:rFonts w:ascii="Calibri" w:hAnsi="Calibri" w:cs="Tahoma"/>
              </w:rPr>
              <w:t>31.12.2025</w:t>
            </w:r>
          </w:p>
        </w:tc>
        <w:tc>
          <w:tcPr>
            <w:tcW w:w="2162" w:type="dxa"/>
            <w:shd w:val="clear" w:color="auto" w:fill="auto"/>
          </w:tcPr>
          <w:p w14:paraId="204F4CB8" w14:textId="77777777" w:rsidR="007B7B94" w:rsidRPr="00231667" w:rsidRDefault="007B7B94" w:rsidP="00D01698">
            <w:pPr>
              <w:jc w:val="right"/>
              <w:rPr>
                <w:rFonts w:ascii="Calibri" w:hAnsi="Calibri" w:cs="Tahoma"/>
              </w:rPr>
            </w:pPr>
            <w:r>
              <w:t xml:space="preserve">€ </w:t>
            </w:r>
            <w:r w:rsidRPr="00231667">
              <w:rPr>
                <w:rFonts w:ascii="Calibri" w:hAnsi="Calibri" w:cs="Tahoma"/>
              </w:rPr>
              <w:t>6.300,00</w:t>
            </w:r>
          </w:p>
        </w:tc>
      </w:tr>
    </w:tbl>
    <w:p w14:paraId="12F2B924" w14:textId="77777777" w:rsidR="007B7B94" w:rsidRDefault="007B7B94" w:rsidP="007B7B94">
      <w:pPr>
        <w:jc w:val="both"/>
        <w:rPr>
          <w:rFonts w:ascii="Calibri" w:hAnsi="Calibri" w:cs="Arial"/>
          <w:noProof/>
        </w:rPr>
      </w:pPr>
    </w:p>
    <w:p w14:paraId="04B55F51" w14:textId="7BC6192C" w:rsidR="007B7B94" w:rsidRPr="00AA5ED6" w:rsidRDefault="007B7B94" w:rsidP="007B7B94">
      <w:pPr>
        <w:pStyle w:val="Paragrafoelenco"/>
        <w:numPr>
          <w:ilvl w:val="0"/>
          <w:numId w:val="1"/>
        </w:numPr>
        <w:jc w:val="both"/>
        <w:rPr>
          <w:rFonts w:ascii="Arial" w:hAnsi="Arial" w:cs="Arial"/>
          <w:noProof/>
        </w:rPr>
      </w:pPr>
      <w:bookmarkStart w:id="0" w:name="_Hlk180749848"/>
      <w:r w:rsidRPr="00AA5ED6">
        <w:rPr>
          <w:rFonts w:ascii="Arial" w:hAnsi="Arial" w:cs="Arial"/>
          <w:noProof/>
        </w:rPr>
        <w:t>tali importi non costituiscono in alcun modo corrispettivo a favore dell’aggiudicatario</w:t>
      </w:r>
      <w:r w:rsidR="00AA5ED6">
        <w:rPr>
          <w:rFonts w:ascii="Arial" w:hAnsi="Arial" w:cs="Arial"/>
          <w:noProof/>
        </w:rPr>
        <w:t>;</w:t>
      </w:r>
    </w:p>
    <w:p w14:paraId="3D16539C" w14:textId="1F30BD6C" w:rsidR="007B7B94" w:rsidRPr="00AA5ED6" w:rsidRDefault="007B7B94" w:rsidP="007B7B94">
      <w:pPr>
        <w:pStyle w:val="Paragrafoelenco"/>
        <w:numPr>
          <w:ilvl w:val="0"/>
          <w:numId w:val="1"/>
        </w:numPr>
        <w:jc w:val="both"/>
        <w:rPr>
          <w:rFonts w:ascii="Arial" w:hAnsi="Arial" w:cs="Arial"/>
          <w:noProof/>
        </w:rPr>
      </w:pPr>
      <w:r w:rsidRPr="00AA5ED6">
        <w:rPr>
          <w:rFonts w:ascii="Arial" w:hAnsi="Arial" w:cs="Arial"/>
          <w:noProof/>
        </w:rPr>
        <w:t>per le polizze di cui sopra che andranno in scadenza, i relativi premi assicurativi in esito alle successive gare protranno variare, mentre le aliquote delle provvigioni sui premi rimarranno fisse per tutta la durata del servizio.</w:t>
      </w:r>
    </w:p>
    <w:bookmarkEnd w:id="0"/>
    <w:p w14:paraId="2A2AF14B" w14:textId="19F99E74" w:rsidR="009C038F" w:rsidRPr="00EB7416" w:rsidRDefault="00AA5ED6" w:rsidP="009C038F">
      <w:pPr>
        <w:jc w:val="center"/>
        <w:rPr>
          <w:rFonts w:ascii="Arial" w:hAnsi="Arial" w:cs="Arial"/>
        </w:rPr>
      </w:pPr>
      <w:r>
        <w:rPr>
          <w:rFonts w:ascii="Arial" w:hAnsi="Arial" w:cs="Arial"/>
        </w:rPr>
        <w:t xml:space="preserve">DICHIARA </w:t>
      </w:r>
    </w:p>
    <w:p w14:paraId="4C7794CD" w14:textId="77777777" w:rsidR="009C038F" w:rsidRPr="00EB7416" w:rsidRDefault="009C038F" w:rsidP="009C038F">
      <w:pPr>
        <w:jc w:val="both"/>
        <w:rPr>
          <w:rFonts w:ascii="Arial" w:hAnsi="Arial" w:cs="Arial"/>
        </w:rPr>
      </w:pPr>
      <w:r w:rsidRPr="00EB7416">
        <w:rPr>
          <w:rFonts w:ascii="Arial" w:hAnsi="Arial" w:cs="Arial"/>
        </w:rPr>
        <w:t>ai sensi degli art. 46 e 47 del D.P.R. 28 dicembre 2000, n. 445, consapevole delle sanzioni penali previste dall'art. 76 del medesimo D.P.R. 445/2000 per le ipotesi di falsità in atti e dichiarazioni mendaci ivi indicate:</w:t>
      </w:r>
    </w:p>
    <w:p w14:paraId="3A2C0AF0" w14:textId="7080293D" w:rsidR="009C038F" w:rsidRDefault="007B7B94" w:rsidP="00195C0D">
      <w:pPr>
        <w:jc w:val="both"/>
        <w:rPr>
          <w:rFonts w:ascii="Arial" w:hAnsi="Arial" w:cs="Arial"/>
        </w:rPr>
      </w:pPr>
      <w:r>
        <w:rPr>
          <w:rFonts w:ascii="Arial" w:hAnsi="Arial" w:cs="Arial"/>
        </w:rPr>
        <w:lastRenderedPageBreak/>
        <w:t xml:space="preserve">DI ACCETTARE </w:t>
      </w:r>
      <w:r w:rsidR="009C038F" w:rsidRPr="00EB7416">
        <w:rPr>
          <w:rFonts w:ascii="Arial" w:hAnsi="Arial" w:cs="Arial"/>
        </w:rPr>
        <w:t>che le percentuali provvigionali stabilite dall’Ente, del 5% (cinque percento) per la polizza RC Auto e del 12% (dodici percento) per le altre polizze, sono in grado di garantire la copertura finanziaria di tutti gli oneri diretti ed indiretti che lo stesso sosterrà per erogare, secondo le prescrizioni di Capitolato, secondo la propria offerta</w:t>
      </w:r>
      <w:r w:rsidR="00AA5ED6">
        <w:rPr>
          <w:rFonts w:ascii="Arial" w:hAnsi="Arial" w:cs="Arial"/>
        </w:rPr>
        <w:t xml:space="preserve"> tecnica</w:t>
      </w:r>
      <w:r w:rsidR="009C038F" w:rsidRPr="00EB7416">
        <w:rPr>
          <w:rFonts w:ascii="Arial" w:hAnsi="Arial" w:cs="Arial"/>
        </w:rPr>
        <w:t xml:space="preserve"> ed a perfetta regola d’arte, il servizio oggetto dell’Appalto, nonché di tutte le incombenze necessarie a garantire l’incolumità pubblica, quella del proprio personale</w:t>
      </w:r>
      <w:r w:rsidR="00AA5ED6">
        <w:rPr>
          <w:rFonts w:ascii="Arial" w:hAnsi="Arial" w:cs="Arial"/>
        </w:rPr>
        <w:t xml:space="preserve"> e </w:t>
      </w:r>
      <w:r w:rsidR="009C038F" w:rsidRPr="00EB7416">
        <w:rPr>
          <w:rFonts w:ascii="Arial" w:hAnsi="Arial" w:cs="Arial"/>
        </w:rPr>
        <w:t xml:space="preserve">del personale dell’ente </w:t>
      </w:r>
    </w:p>
    <w:p w14:paraId="5CDFE7C6" w14:textId="77777777" w:rsidR="00195C0D" w:rsidRDefault="00195C0D" w:rsidP="00195C0D">
      <w:pPr>
        <w:jc w:val="both"/>
        <w:rPr>
          <w:rFonts w:ascii="Arial" w:hAnsi="Arial" w:cs="Arial"/>
        </w:rPr>
      </w:pPr>
    </w:p>
    <w:p w14:paraId="5BAC477F" w14:textId="77777777" w:rsidR="00195C0D" w:rsidRPr="00EB7416" w:rsidRDefault="00195C0D" w:rsidP="00195C0D">
      <w:pPr>
        <w:jc w:val="both"/>
        <w:rPr>
          <w:rFonts w:ascii="Arial" w:hAnsi="Arial" w:cs="Arial"/>
        </w:rPr>
      </w:pPr>
    </w:p>
    <w:p w14:paraId="46AC7772" w14:textId="77777777" w:rsidR="009C038F" w:rsidRPr="00EB7416" w:rsidRDefault="009C038F" w:rsidP="009C038F">
      <w:pPr>
        <w:rPr>
          <w:rFonts w:ascii="Arial" w:hAnsi="Arial" w:cs="Arial"/>
        </w:rPr>
      </w:pPr>
      <w:r w:rsidRPr="00EB7416">
        <w:rPr>
          <w:rFonts w:ascii="Arial" w:hAnsi="Arial" w:cs="Arial"/>
        </w:rPr>
        <w:t>_______________, __/__/_____</w:t>
      </w:r>
    </w:p>
    <w:p w14:paraId="616F3D95" w14:textId="5E05AF7F" w:rsidR="009C038F" w:rsidRPr="00EB7416" w:rsidRDefault="009C038F" w:rsidP="009C038F">
      <w:pPr>
        <w:tabs>
          <w:tab w:val="center" w:pos="7088"/>
        </w:tabs>
        <w:rPr>
          <w:rFonts w:ascii="Arial" w:hAnsi="Arial" w:cs="Arial"/>
        </w:rPr>
      </w:pPr>
      <w:r w:rsidRPr="00EB7416">
        <w:rPr>
          <w:rFonts w:ascii="Arial" w:hAnsi="Arial" w:cs="Arial"/>
        </w:rPr>
        <w:tab/>
        <w:t>IL DICHIARANTE (firma digitale)</w:t>
      </w:r>
    </w:p>
    <w:p w14:paraId="43B0F9FC" w14:textId="77777777" w:rsidR="00AA5ED6" w:rsidRDefault="00AA5ED6" w:rsidP="009C038F">
      <w:pPr>
        <w:rPr>
          <w:rFonts w:ascii="Arial" w:hAnsi="Arial" w:cs="Arial"/>
        </w:rPr>
      </w:pPr>
    </w:p>
    <w:p w14:paraId="235E80E3" w14:textId="7FBAFE0B" w:rsidR="005A76DE" w:rsidRPr="00EB7416" w:rsidRDefault="009C038F" w:rsidP="009C038F">
      <w:pPr>
        <w:rPr>
          <w:rFonts w:ascii="Arial" w:hAnsi="Arial" w:cs="Arial"/>
        </w:rPr>
      </w:pPr>
      <w:r w:rsidRPr="00EB7416">
        <w:rPr>
          <w:rFonts w:ascii="Arial" w:hAnsi="Arial" w:cs="Arial"/>
        </w:rPr>
        <w:t>Nel caso di raggruppamenti temporanei di imprese (RTI), consorzi o di coassicurazione, la presente istanza dovrà essere resa da ogni singola impresa facente parte della costituenda o costituita ATI e da ogni singola consorziata</w:t>
      </w:r>
    </w:p>
    <w:sectPr w:rsidR="005A76DE" w:rsidRPr="00EB74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94E91"/>
    <w:multiLevelType w:val="hybridMultilevel"/>
    <w:tmpl w:val="8DF0D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7739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8F"/>
    <w:rsid w:val="00195C0D"/>
    <w:rsid w:val="001C287E"/>
    <w:rsid w:val="00200774"/>
    <w:rsid w:val="002070C1"/>
    <w:rsid w:val="005A76DE"/>
    <w:rsid w:val="005F1973"/>
    <w:rsid w:val="006B4071"/>
    <w:rsid w:val="00733BD9"/>
    <w:rsid w:val="007B7B94"/>
    <w:rsid w:val="008370ED"/>
    <w:rsid w:val="00937F77"/>
    <w:rsid w:val="009C038F"/>
    <w:rsid w:val="00A039CF"/>
    <w:rsid w:val="00AA5ED6"/>
    <w:rsid w:val="00BB7CB9"/>
    <w:rsid w:val="00DD6EAB"/>
    <w:rsid w:val="00EB7416"/>
    <w:rsid w:val="00F36E69"/>
    <w:rsid w:val="00F87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B8C1"/>
  <w15:chartTrackingRefBased/>
  <w15:docId w15:val="{C25199FA-F2B0-4846-A121-0BF3526C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0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C0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C038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C038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C038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C038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038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038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038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038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C038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C038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C038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C038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C038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038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038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038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C0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038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C038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C038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038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038F"/>
    <w:rPr>
      <w:i/>
      <w:iCs/>
      <w:color w:val="404040" w:themeColor="text1" w:themeTint="BF"/>
    </w:rPr>
  </w:style>
  <w:style w:type="paragraph" w:styleId="Paragrafoelenco">
    <w:name w:val="List Paragraph"/>
    <w:basedOn w:val="Normale"/>
    <w:uiPriority w:val="34"/>
    <w:qFormat/>
    <w:rsid w:val="009C038F"/>
    <w:pPr>
      <w:ind w:left="720"/>
      <w:contextualSpacing/>
    </w:pPr>
  </w:style>
  <w:style w:type="character" w:styleId="Enfasiintensa">
    <w:name w:val="Intense Emphasis"/>
    <w:basedOn w:val="Carpredefinitoparagrafo"/>
    <w:uiPriority w:val="21"/>
    <w:qFormat/>
    <w:rsid w:val="009C038F"/>
    <w:rPr>
      <w:i/>
      <w:iCs/>
      <w:color w:val="0F4761" w:themeColor="accent1" w:themeShade="BF"/>
    </w:rPr>
  </w:style>
  <w:style w:type="paragraph" w:styleId="Citazioneintensa">
    <w:name w:val="Intense Quote"/>
    <w:basedOn w:val="Normale"/>
    <w:next w:val="Normale"/>
    <w:link w:val="CitazioneintensaCarattere"/>
    <w:uiPriority w:val="30"/>
    <w:qFormat/>
    <w:rsid w:val="009C0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C038F"/>
    <w:rPr>
      <w:i/>
      <w:iCs/>
      <w:color w:val="0F4761" w:themeColor="accent1" w:themeShade="BF"/>
    </w:rPr>
  </w:style>
  <w:style w:type="character" w:styleId="Riferimentointenso">
    <w:name w:val="Intense Reference"/>
    <w:basedOn w:val="Carpredefinitoparagrafo"/>
    <w:uiPriority w:val="32"/>
    <w:qFormat/>
    <w:rsid w:val="009C038F"/>
    <w:rPr>
      <w:b/>
      <w:bCs/>
      <w:smallCaps/>
      <w:color w:val="0F4761" w:themeColor="accent1" w:themeShade="BF"/>
      <w:spacing w:val="5"/>
    </w:rPr>
  </w:style>
  <w:style w:type="paragraph" w:customStyle="1" w:styleId="pf0">
    <w:name w:val="pf0"/>
    <w:basedOn w:val="Normale"/>
    <w:rsid w:val="00195C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f01">
    <w:name w:val="cf01"/>
    <w:basedOn w:val="Carpredefinitoparagrafo"/>
    <w:rsid w:val="00195C0D"/>
    <w:rPr>
      <w:rFonts w:ascii="Segoe UI" w:hAnsi="Segoe UI" w:cs="Segoe UI" w:hint="default"/>
      <w:sz w:val="18"/>
      <w:szCs w:val="18"/>
    </w:rPr>
  </w:style>
  <w:style w:type="character" w:customStyle="1" w:styleId="cf11">
    <w:name w:val="cf11"/>
    <w:basedOn w:val="Carpredefinitoparagrafo"/>
    <w:rsid w:val="00195C0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9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Baldacci</dc:creator>
  <cp:keywords/>
  <dc:description/>
  <cp:lastModifiedBy>Maria Giovanna Baldacci</cp:lastModifiedBy>
  <cp:revision>2</cp:revision>
  <cp:lastPrinted>2024-10-28T10:44:00Z</cp:lastPrinted>
  <dcterms:created xsi:type="dcterms:W3CDTF">2024-10-28T12:23:00Z</dcterms:created>
  <dcterms:modified xsi:type="dcterms:W3CDTF">2024-10-28T12:23:00Z</dcterms:modified>
</cp:coreProperties>
</file>